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0F" w:rsidRPr="008B1C76" w:rsidRDefault="00CE400F" w:rsidP="00CE400F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№1</w:t>
      </w:r>
      <w:r w:rsidR="00727138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00F" w:rsidRPr="008B1C76" w:rsidRDefault="00CE400F" w:rsidP="00CE400F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CE400F" w:rsidRPr="008B1C76" w:rsidRDefault="00CE400F" w:rsidP="00CE400F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CE400F" w:rsidRDefault="00CE400F" w:rsidP="00CE400F">
      <w:pPr>
        <w:spacing w:after="0" w:line="249" w:lineRule="auto"/>
        <w:ind w:left="5666" w:hanging="10"/>
      </w:pPr>
    </w:p>
    <w:p w:rsidR="00F25FDB" w:rsidRPr="00F25FDB" w:rsidRDefault="00F25FDB" w:rsidP="00CE400F">
      <w:pPr>
        <w:spacing w:after="0" w:line="249" w:lineRule="auto"/>
        <w:ind w:left="5666" w:hanging="1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35152" w:rsidRDefault="00F25FDB">
      <w:pPr>
        <w:spacing w:after="0"/>
        <w:ind w:left="19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25FDB" w:rsidRDefault="00F25FDB">
      <w:pPr>
        <w:spacing w:after="4" w:line="250" w:lineRule="auto"/>
        <w:ind w:left="2312" w:right="2109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235152" w:rsidRDefault="00F25FDB">
      <w:pPr>
        <w:spacing w:after="4" w:line="250" w:lineRule="auto"/>
        <w:ind w:left="2312" w:right="210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адміністративної послуги  </w:t>
      </w:r>
    </w:p>
    <w:p w:rsidR="00235152" w:rsidRDefault="00F25FDB">
      <w:pPr>
        <w:spacing w:after="4" w:line="250" w:lineRule="auto"/>
        <w:ind w:left="14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«ВИДАЧА ДОЗВОЛУ ОПІКУНУ НА ВЧИНЕННЯ ПРАВОЧИНІВ </w:t>
      </w:r>
    </w:p>
    <w:p w:rsidR="00235152" w:rsidRDefault="00F25FDB">
      <w:pPr>
        <w:spacing w:after="4" w:line="250" w:lineRule="auto"/>
        <w:ind w:left="142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ЩОДО УКЛАДЕННЯ ДОГОВОРІВ ЩОДО ІНШОГО ЦІННОГО МАЙНА»</w:t>
      </w:r>
    </w:p>
    <w:p w:rsidR="00235152" w:rsidRDefault="00F25FDB">
      <w:pPr>
        <w:spacing w:after="0"/>
        <w:ind w:left="145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Управління </w:t>
      </w:r>
      <w:r w:rsidR="00BE3111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праці та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соціального захисту населення</w:t>
      </w:r>
    </w:p>
    <w:p w:rsidR="00235152" w:rsidRDefault="00BE3111">
      <w:pPr>
        <w:spacing w:after="0"/>
        <w:ind w:left="145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</w:t>
      </w:r>
      <w:r w:rsidR="00F25FDB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районної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у м. Херсоні ради</w:t>
      </w:r>
      <w:r w:rsidR="00F25FD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35152" w:rsidRDefault="00F25FDB" w:rsidP="00BE3111">
      <w:pPr>
        <w:spacing w:after="18"/>
        <w:ind w:left="127"/>
      </w:pPr>
      <w:r>
        <w:rPr>
          <w:rFonts w:ascii="Times New Roman" w:eastAsia="Times New Roman" w:hAnsi="Times New Roman" w:cs="Times New Roman"/>
          <w:sz w:val="20"/>
        </w:rPr>
        <w:t>(найменування суб’єкта надання адміністративної послуги та / або центру н</w:t>
      </w:r>
      <w:r w:rsidR="00BE3111">
        <w:rPr>
          <w:rFonts w:ascii="Times New Roman" w:eastAsia="Times New Roman" w:hAnsi="Times New Roman" w:cs="Times New Roman"/>
          <w:sz w:val="20"/>
        </w:rPr>
        <w:t>адання адміністративних послуг</w:t>
      </w:r>
      <w:r w:rsidR="004B42D8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67" w:type="dxa"/>
        <w:tblInd w:w="-14" w:type="dxa"/>
        <w:tblCellMar>
          <w:top w:w="39" w:type="dxa"/>
          <w:right w:w="14" w:type="dxa"/>
        </w:tblCellMar>
        <w:tblLook w:val="04A0" w:firstRow="1" w:lastRow="0" w:firstColumn="1" w:lastColumn="0" w:noHBand="0" w:noVBand="1"/>
      </w:tblPr>
      <w:tblGrid>
        <w:gridCol w:w="497"/>
        <w:gridCol w:w="2174"/>
        <w:gridCol w:w="6996"/>
      </w:tblGrid>
      <w:tr w:rsidR="00235152">
        <w:trPr>
          <w:trHeight w:val="598"/>
        </w:trPr>
        <w:tc>
          <w:tcPr>
            <w:tcW w:w="9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Інформація про суб’єкт надання адміністративної послуги та / або центр надання адміністративних послуг / виконавчий орган ради об’єднаної територіальної громади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5FDB">
        <w:trPr>
          <w:trHeight w:val="32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Default="00F25FDB" w:rsidP="00F25F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Default="00F25FDB" w:rsidP="00F25FDB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Pr="00D70414" w:rsidRDefault="00F25FDB" w:rsidP="00F25FDB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 Херсон, вул. Маяковського 8</w:t>
            </w:r>
          </w:p>
        </w:tc>
      </w:tr>
      <w:tr w:rsidR="00F25FDB" w:rsidTr="004B42D8">
        <w:trPr>
          <w:trHeight w:val="67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Default="00F25FDB" w:rsidP="00F25F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Default="00F25FDB" w:rsidP="00F25FDB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Pr="00D70414" w:rsidRDefault="00F25FDB" w:rsidP="00F25FDB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F25FDB">
        <w:trPr>
          <w:trHeight w:val="87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Default="00F25FDB" w:rsidP="00F25F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Default="00F25FDB" w:rsidP="00F25FDB">
            <w:r>
              <w:rPr>
                <w:rFonts w:ascii="Times New Roman" w:eastAsia="Times New Roman" w:hAnsi="Times New Roman" w:cs="Times New Roman"/>
                <w:sz w:val="24"/>
              </w:rPr>
              <w:t>Телефон / факс, електро</w:t>
            </w:r>
            <w:r w:rsidR="004B42D8">
              <w:rPr>
                <w:rFonts w:ascii="Times New Roman" w:eastAsia="Times New Roman" w:hAnsi="Times New Roman" w:cs="Times New Roman"/>
                <w:sz w:val="24"/>
              </w:rPr>
              <w:t>нна адреса, офіційний веб-сайт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Pr="00BA749C" w:rsidRDefault="00F25FDB" w:rsidP="00F25FDB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F25FDB" w:rsidRPr="00D70414" w:rsidRDefault="00F25FDB" w:rsidP="00F25FDB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235152">
        <w:trPr>
          <w:trHeight w:val="322"/>
        </w:trPr>
        <w:tc>
          <w:tcPr>
            <w:tcW w:w="9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Нормативні акти, якими регламентується надання адміністративної послуги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35152">
        <w:trPr>
          <w:trHeight w:val="34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Цивільний кодекс України </w:t>
            </w:r>
          </w:p>
        </w:tc>
      </w:tr>
      <w:tr w:rsidR="00235152">
        <w:trPr>
          <w:trHeight w:val="170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4B42D8">
            <w:pPr>
              <w:ind w:left="12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  387/3680</w:t>
            </w:r>
          </w:p>
        </w:tc>
      </w:tr>
      <w:tr w:rsidR="00235152">
        <w:trPr>
          <w:trHeight w:val="322"/>
        </w:trPr>
        <w:tc>
          <w:tcPr>
            <w:tcW w:w="9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Умови отримання адміністративної послуги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35152">
        <w:trPr>
          <w:trHeight w:val="59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Необхідність вчинення правочину в інтересах підопічної недієздатної особи </w:t>
            </w:r>
          </w:p>
        </w:tc>
      </w:tr>
      <w:tr w:rsidR="00F25FDB">
        <w:trPr>
          <w:trHeight w:val="59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Default="00F25FDB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Default="00F25FDB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Перелік необхідних документів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DB" w:rsidRDefault="00F25FDB" w:rsidP="00F25FDB">
            <w:pPr>
              <w:spacing w:line="239" w:lineRule="auto"/>
              <w:ind w:left="15" w:right="113" w:hanging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опікуна недієздатної особи до 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 (органу опіки та піклування)про отримання дозволу опікуну на вчинення правочинів щодо укладення договорів щодо іншого цінного майна (далі – дозвіл); </w:t>
            </w:r>
          </w:p>
          <w:p w:rsidR="00F25FDB" w:rsidRDefault="00F25FDB" w:rsidP="00F25FDB">
            <w:pPr>
              <w:spacing w:line="239" w:lineRule="auto"/>
              <w:ind w:left="14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рішення суду про визнання особи недієздатною / про визнання особи недієздатною та призначення їй опікуна; копія рішення суду про призначення особи опікуном (опікунами) особи, визнаної судом недієздатною (до 22.03.2005 – рішення органу опіки та піклування); </w:t>
            </w:r>
          </w:p>
          <w:p w:rsidR="00F25FDB" w:rsidRDefault="00F25FDB" w:rsidP="00F25FDB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згода на вчинення правочину від інших опікунів (у разі наявності у недієздатної особи декількох призначених опікунів); </w:t>
            </w:r>
          </w:p>
          <w:p w:rsidR="00F25FDB" w:rsidRDefault="00F25FDB" w:rsidP="00F25FDB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паспорта недієздатної особи; </w:t>
            </w:r>
          </w:p>
          <w:p w:rsidR="00F25FDB" w:rsidRDefault="00F25FDB" w:rsidP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паспорта опікуна недієздатної особи; </w:t>
            </w:r>
          </w:p>
          <w:p w:rsidR="00F25FDB" w:rsidRDefault="00F25FDB" w:rsidP="00F25FDB">
            <w:pPr>
              <w:spacing w:line="239" w:lineRule="auto"/>
              <w:ind w:left="14" w:right="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правовстановлюючого документа, що підтверджує право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власності на майно, яке відчужується та / або придбавається; довідка органу державної реєстрації про підтвердження права власності на майно, яке відчужується та / або придбавається; документ про оціночну вартість майна, власником якого є недієздатна особа; копія технічного паспорта на майно, яке відчужується та / або придбавається; </w:t>
            </w:r>
          </w:p>
          <w:p w:rsidR="00F25FDB" w:rsidRDefault="00F25FDB" w:rsidP="00F25FDB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довідка про реєстрацію місця проживання недієздатної особи</w:t>
            </w:r>
          </w:p>
          <w:p w:rsidR="00F25FDB" w:rsidRDefault="00F25FDB" w:rsidP="00F25FDB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5152">
        <w:tblPrEx>
          <w:tblCellMar>
            <w:top w:w="71" w:type="dxa"/>
            <w:right w:w="12" w:type="dxa"/>
          </w:tblCellMar>
        </w:tblPrEx>
        <w:trPr>
          <w:trHeight w:val="253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5" w:right="113" w:hanging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районної, районної в містах Києві та Севастополі державної адміністрації, виконавчого органу сільської, селищної, міської, районної у місті (у разі її утворення) ради,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 </w:t>
            </w:r>
          </w:p>
        </w:tc>
      </w:tr>
      <w:tr w:rsidR="00235152">
        <w:tblPrEx>
          <w:tblCellMar>
            <w:top w:w="71" w:type="dxa"/>
            <w:right w:w="12" w:type="dxa"/>
          </w:tblCellMar>
        </w:tblPrEx>
        <w:trPr>
          <w:trHeight w:val="87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</w:tc>
      </w:tr>
      <w:tr w:rsidR="00235152">
        <w:tblPrEx>
          <w:tblCellMar>
            <w:top w:w="71" w:type="dxa"/>
            <w:right w:w="12" w:type="dxa"/>
          </w:tblCellMar>
        </w:tblPrEx>
        <w:trPr>
          <w:trHeight w:val="115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 </w:t>
            </w:r>
          </w:p>
        </w:tc>
      </w:tr>
      <w:tr w:rsidR="00235152">
        <w:tblPrEx>
          <w:tblCellMar>
            <w:top w:w="71" w:type="dxa"/>
            <w:right w:w="12" w:type="dxa"/>
          </w:tblCellMar>
        </w:tblPrEx>
        <w:trPr>
          <w:trHeight w:val="115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spacing w:line="254" w:lineRule="auto"/>
              <w:ind w:left="15" w:right="115" w:hanging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Подання неповного пакету документів; невідповідність поданих документів вимогам чинного законодавства; </w:t>
            </w:r>
          </w:p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недостовірних даних </w:t>
            </w:r>
          </w:p>
        </w:tc>
      </w:tr>
      <w:tr w:rsidR="00235152">
        <w:tblPrEx>
          <w:tblCellMar>
            <w:top w:w="71" w:type="dxa"/>
            <w:right w:w="12" w:type="dxa"/>
          </w:tblCellMar>
        </w:tblPrEx>
        <w:trPr>
          <w:trHeight w:val="87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Видача опікуну дозволу / відмова у наданні опікуну дозволу </w:t>
            </w:r>
          </w:p>
        </w:tc>
      </w:tr>
      <w:tr w:rsidR="00235152">
        <w:tblPrEx>
          <w:tblCellMar>
            <w:top w:w="71" w:type="dxa"/>
            <w:right w:w="12" w:type="dxa"/>
          </w:tblCellMar>
        </w:tblPrEx>
        <w:trPr>
          <w:trHeight w:val="253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152" w:rsidRDefault="00F25FDB">
            <w:pPr>
              <w:spacing w:line="239" w:lineRule="auto"/>
              <w:ind w:left="15" w:right="115" w:hanging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 </w:t>
            </w:r>
          </w:p>
          <w:p w:rsidR="00235152" w:rsidRDefault="00F25FDB">
            <w:pPr>
              <w:ind w:left="14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 Отримання результату – заявником особисто або уповноваженою ним особою </w:t>
            </w:r>
          </w:p>
        </w:tc>
      </w:tr>
    </w:tbl>
    <w:p w:rsidR="00235152" w:rsidRDefault="00F25FD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E400F" w:rsidRPr="00040CF5" w:rsidRDefault="00CE400F" w:rsidP="00CE400F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CE400F" w:rsidRDefault="00CE400F">
      <w:pPr>
        <w:spacing w:after="0"/>
      </w:pPr>
    </w:p>
    <w:sectPr w:rsidR="00CE400F">
      <w:pgSz w:w="11900" w:h="16840"/>
      <w:pgMar w:top="759" w:right="693" w:bottom="1199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52"/>
    <w:rsid w:val="00235152"/>
    <w:rsid w:val="004B42D8"/>
    <w:rsid w:val="00727138"/>
    <w:rsid w:val="008C50B8"/>
    <w:rsid w:val="00BE3111"/>
    <w:rsid w:val="00CE400F"/>
    <w:rsid w:val="00F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CE4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CE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2948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Администратор</dc:creator>
  <cp:keywords/>
  <cp:lastModifiedBy>111</cp:lastModifiedBy>
  <cp:revision>7</cp:revision>
  <dcterms:created xsi:type="dcterms:W3CDTF">2023-06-07T19:22:00Z</dcterms:created>
  <dcterms:modified xsi:type="dcterms:W3CDTF">2023-07-13T07:55:00Z</dcterms:modified>
</cp:coreProperties>
</file>