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E1" w:rsidRPr="008B1C76" w:rsidRDefault="005C072F" w:rsidP="00CA2FE1">
      <w:pPr>
        <w:spacing w:after="0"/>
        <w:ind w:left="6237"/>
        <w:rPr>
          <w:rFonts w:ascii="Times New Roman" w:eastAsia="Times New Roman" w:hAnsi="Times New Roman" w:cs="Times New Roman"/>
          <w:sz w:val="24"/>
          <w:szCs w:val="24"/>
        </w:rPr>
      </w:pPr>
      <w:r w:rsidRPr="005C072F">
        <w:rPr>
          <w:rFonts w:ascii="Times New Roman" w:eastAsia="Times New Roman" w:hAnsi="Times New Roman" w:cs="Times New Roman"/>
          <w:sz w:val="28"/>
        </w:rPr>
        <w:t xml:space="preserve"> </w:t>
      </w:r>
      <w:r w:rsidR="00CA2FE1" w:rsidRPr="008B1C76">
        <w:rPr>
          <w:rFonts w:ascii="Times New Roman" w:eastAsia="Times New Roman" w:hAnsi="Times New Roman" w:cs="Times New Roman"/>
          <w:sz w:val="24"/>
          <w:szCs w:val="24"/>
        </w:rPr>
        <w:t>Додаток №</w:t>
      </w:r>
      <w:r w:rsidR="00025BA5">
        <w:rPr>
          <w:rFonts w:ascii="Times New Roman" w:eastAsia="Times New Roman" w:hAnsi="Times New Roman" w:cs="Times New Roman"/>
          <w:sz w:val="24"/>
          <w:szCs w:val="24"/>
        </w:rPr>
        <w:t>79</w:t>
      </w:r>
      <w:bookmarkStart w:id="0" w:name="_GoBack"/>
      <w:bookmarkEnd w:id="0"/>
    </w:p>
    <w:p w:rsidR="00CA2FE1" w:rsidRPr="008B1C76" w:rsidRDefault="00CA2FE1" w:rsidP="00CA2FE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CA2FE1" w:rsidRDefault="00CA2FE1" w:rsidP="00CA2FE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5C072F" w:rsidRPr="005C072F" w:rsidRDefault="005C072F" w:rsidP="00CA2FE1">
      <w:pPr>
        <w:spacing w:after="0"/>
        <w:ind w:left="227"/>
        <w:jc w:val="center"/>
        <w:rPr>
          <w:rFonts w:ascii="Times New Roman" w:eastAsia="Times New Roman" w:hAnsi="Times New Roman" w:cs="Times New Roman"/>
          <w:color w:val="auto"/>
          <w:sz w:val="20"/>
          <w:szCs w:val="20"/>
          <w:lang w:eastAsia="ru-RU"/>
        </w:rPr>
      </w:pPr>
    </w:p>
    <w:p w:rsidR="005C072F" w:rsidRPr="005C072F" w:rsidRDefault="005C072F" w:rsidP="005C072F">
      <w:pPr>
        <w:spacing w:after="0" w:line="249" w:lineRule="auto"/>
        <w:ind w:left="5666" w:hanging="10"/>
      </w:pPr>
    </w:p>
    <w:p w:rsidR="005C072F" w:rsidRPr="005C072F" w:rsidRDefault="005C072F" w:rsidP="005C072F">
      <w:pPr>
        <w:spacing w:after="1" w:line="241" w:lineRule="auto"/>
        <w:ind w:left="2333" w:right="2054"/>
        <w:jc w:val="center"/>
        <w:rPr>
          <w:rFonts w:ascii="Times New Roman" w:eastAsia="Times New Roman" w:hAnsi="Times New Roman" w:cs="Times New Roman"/>
          <w:b/>
          <w:sz w:val="24"/>
        </w:rPr>
      </w:pPr>
      <w:r w:rsidRPr="005C072F">
        <w:rPr>
          <w:rFonts w:ascii="Times New Roman" w:eastAsia="Times New Roman" w:hAnsi="Times New Roman" w:cs="Times New Roman"/>
          <w:b/>
          <w:sz w:val="24"/>
        </w:rPr>
        <w:t>ІНФОРМАЦІЙНА КАРТКА</w:t>
      </w:r>
    </w:p>
    <w:p w:rsidR="005C072F" w:rsidRPr="005C072F" w:rsidRDefault="005C072F" w:rsidP="005C072F">
      <w:pPr>
        <w:spacing w:after="1" w:line="241" w:lineRule="auto"/>
        <w:ind w:left="2333" w:right="2054"/>
        <w:jc w:val="center"/>
      </w:pPr>
      <w:r w:rsidRPr="005C072F">
        <w:rPr>
          <w:rFonts w:ascii="Times New Roman" w:eastAsia="Times New Roman" w:hAnsi="Times New Roman" w:cs="Times New Roman"/>
          <w:b/>
          <w:sz w:val="24"/>
        </w:rPr>
        <w:t>адміністративної послуги</w:t>
      </w:r>
    </w:p>
    <w:p w:rsidR="005C072F" w:rsidRDefault="005C072F" w:rsidP="00F93CC7">
      <w:pPr>
        <w:spacing w:after="0"/>
        <w:ind w:left="209" w:hanging="10"/>
        <w:jc w:val="center"/>
      </w:pPr>
      <w:r>
        <w:rPr>
          <w:rFonts w:ascii="Times New Roman" w:eastAsia="Times New Roman" w:hAnsi="Times New Roman" w:cs="Times New Roman"/>
          <w:b/>
          <w:sz w:val="24"/>
        </w:rPr>
        <w:t>«ЗАБЕЗПЕЧЕННЯ САНАТОРНО-КУРОР</w:t>
      </w:r>
      <w:r w:rsidR="00F93CC7">
        <w:rPr>
          <w:rFonts w:ascii="Times New Roman" w:eastAsia="Times New Roman" w:hAnsi="Times New Roman" w:cs="Times New Roman"/>
          <w:b/>
          <w:sz w:val="24"/>
        </w:rPr>
        <w:t>Т</w:t>
      </w:r>
      <w:r>
        <w:rPr>
          <w:rFonts w:ascii="Times New Roman" w:eastAsia="Times New Roman" w:hAnsi="Times New Roman" w:cs="Times New Roman"/>
          <w:b/>
          <w:sz w:val="24"/>
        </w:rPr>
        <w:t>НИМИ ПУТІВКАМИ ПОСТРАЖДАЛИХ УЧАСНИКІВ РЕВОЛЮЦІЇ ГІДНОСТІ, ВЕТЕРАНІВ ВІЙНИ З ЧИСЛА УЧАСНИКІВ АНТИТЕРОРИСТИЧНОЇ ОПЕРАЦІЇ/ОПЕРАЦІЇ ОБ’ЄДНАНИХ СИЛ, ЧЛЕНІВСІМЕЙ ЗАГИБЛИХ (ПОМЕРЛИХ) ТАКИХ ОСІБ ТА ЧЛЕНІВ СІМЕЙ ЗАГИБЛИХ(ПОМЕРЛИХ) ЗАХИСНИКІВ ЧИ ЗАХИСНИЦЬ УКРАЇНИ»</w:t>
      </w:r>
    </w:p>
    <w:p w:rsidR="005C072F" w:rsidRPr="005C072F" w:rsidRDefault="005C072F" w:rsidP="005C072F">
      <w:pPr>
        <w:spacing w:after="0"/>
        <w:ind w:left="169" w:right="2" w:hanging="10"/>
        <w:jc w:val="center"/>
      </w:pPr>
      <w:r w:rsidRPr="005C072F">
        <w:rPr>
          <w:rFonts w:ascii="Times New Roman" w:eastAsia="Times New Roman" w:hAnsi="Times New Roman" w:cs="Times New Roman"/>
          <w:b/>
          <w:sz w:val="24"/>
          <w:u w:val="single" w:color="000000"/>
        </w:rPr>
        <w:t>Управління праці та соціального захисту населення</w:t>
      </w:r>
    </w:p>
    <w:p w:rsidR="005C072F" w:rsidRPr="005C072F" w:rsidRDefault="005C072F" w:rsidP="005C072F">
      <w:pPr>
        <w:spacing w:after="0"/>
        <w:ind w:left="169" w:hanging="10"/>
        <w:jc w:val="center"/>
      </w:pPr>
      <w:r w:rsidRPr="005C072F">
        <w:rPr>
          <w:rFonts w:ascii="Times New Roman" w:eastAsia="Times New Roman" w:hAnsi="Times New Roman" w:cs="Times New Roman"/>
          <w:b/>
          <w:sz w:val="24"/>
          <w:u w:val="single" w:color="000000"/>
        </w:rPr>
        <w:t>Суворовської районної у м. Херсоні ради</w:t>
      </w:r>
    </w:p>
    <w:tbl>
      <w:tblPr>
        <w:tblStyle w:val="TableGrid"/>
        <w:tblpPr w:vertAnchor="page" w:horzAnchor="margin" w:tblpY="5416"/>
        <w:tblOverlap w:val="never"/>
        <w:tblW w:w="9746" w:type="dxa"/>
        <w:tblInd w:w="0" w:type="dxa"/>
        <w:tblCellMar>
          <w:top w:w="24" w:type="dxa"/>
          <w:left w:w="105" w:type="dxa"/>
        </w:tblCellMar>
        <w:tblLook w:val="04A0" w:firstRow="1" w:lastRow="0" w:firstColumn="1" w:lastColumn="0" w:noHBand="0" w:noVBand="1"/>
      </w:tblPr>
      <w:tblGrid>
        <w:gridCol w:w="456"/>
        <w:gridCol w:w="3055"/>
        <w:gridCol w:w="6235"/>
      </w:tblGrid>
      <w:tr w:rsidR="00C85DF8" w:rsidTr="00C85DF8">
        <w:trPr>
          <w:trHeight w:val="566"/>
        </w:trPr>
        <w:tc>
          <w:tcPr>
            <w:tcW w:w="9746" w:type="dxa"/>
            <w:gridSpan w:val="3"/>
            <w:tcBorders>
              <w:top w:val="single" w:sz="6" w:space="0" w:color="000000"/>
              <w:left w:val="single" w:sz="6" w:space="0" w:color="000000"/>
              <w:bottom w:val="single" w:sz="6" w:space="0" w:color="000000"/>
              <w:right w:val="single" w:sz="6" w:space="0" w:color="000000"/>
            </w:tcBorders>
          </w:tcPr>
          <w:p w:rsidR="00C85DF8" w:rsidRDefault="00C85DF8" w:rsidP="00C85DF8">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C85DF8" w:rsidTr="00C85DF8">
        <w:trPr>
          <w:trHeight w:val="329"/>
        </w:trPr>
        <w:tc>
          <w:tcPr>
            <w:tcW w:w="456" w:type="dxa"/>
            <w:tcBorders>
              <w:top w:val="single" w:sz="6" w:space="0" w:color="000000"/>
              <w:left w:val="single" w:sz="4" w:space="0" w:color="000000"/>
              <w:bottom w:val="single" w:sz="4" w:space="0" w:color="000000"/>
              <w:right w:val="single" w:sz="6" w:space="0" w:color="000000"/>
            </w:tcBorders>
          </w:tcPr>
          <w:p w:rsidR="00C85DF8" w:rsidRDefault="00C85DF8" w:rsidP="00C85DF8">
            <w:pPr>
              <w:ind w:left="63"/>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C85DF8" w:rsidRDefault="00C85DF8" w:rsidP="00C85DF8">
            <w:pPr>
              <w:ind w:left="3"/>
            </w:pPr>
            <w:r>
              <w:rPr>
                <w:rFonts w:ascii="Times New Roman" w:eastAsia="Times New Roman" w:hAnsi="Times New Roman" w:cs="Times New Roman"/>
                <w:sz w:val="24"/>
              </w:rPr>
              <w:t xml:space="preserve">Місцезнаходження  </w:t>
            </w:r>
          </w:p>
        </w:tc>
        <w:tc>
          <w:tcPr>
            <w:tcW w:w="6235" w:type="dxa"/>
            <w:tcBorders>
              <w:top w:val="single" w:sz="6" w:space="0" w:color="000000"/>
              <w:left w:val="single" w:sz="6" w:space="0" w:color="000000"/>
              <w:bottom w:val="single" w:sz="6" w:space="0" w:color="000000"/>
              <w:right w:val="single" w:sz="6" w:space="0" w:color="000000"/>
            </w:tcBorders>
          </w:tcPr>
          <w:p w:rsidR="00C85DF8" w:rsidRPr="00D70414" w:rsidRDefault="00C85DF8" w:rsidP="00C85DF8">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C85DF8" w:rsidTr="00C85DF8">
        <w:trPr>
          <w:trHeight w:val="1121"/>
        </w:trPr>
        <w:tc>
          <w:tcPr>
            <w:tcW w:w="456" w:type="dxa"/>
            <w:tcBorders>
              <w:top w:val="single" w:sz="4" w:space="0" w:color="000000"/>
              <w:left w:val="single" w:sz="4" w:space="0" w:color="000000"/>
              <w:bottom w:val="single" w:sz="4" w:space="0" w:color="000000"/>
              <w:right w:val="single" w:sz="6" w:space="0" w:color="000000"/>
            </w:tcBorders>
          </w:tcPr>
          <w:p w:rsidR="00C85DF8" w:rsidRDefault="00C85DF8" w:rsidP="00C85DF8">
            <w:pPr>
              <w:ind w:left="63"/>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C85DF8" w:rsidRDefault="00C85DF8" w:rsidP="00C85DF8">
            <w:pPr>
              <w:ind w:left="2"/>
            </w:pPr>
            <w:r>
              <w:rPr>
                <w:rFonts w:ascii="Times New Roman" w:eastAsia="Times New Roman" w:hAnsi="Times New Roman" w:cs="Times New Roman"/>
                <w:sz w:val="24"/>
              </w:rPr>
              <w:t xml:space="preserve">Інформація щодо режиму роботи  </w:t>
            </w:r>
          </w:p>
        </w:tc>
        <w:tc>
          <w:tcPr>
            <w:tcW w:w="6235" w:type="dxa"/>
            <w:tcBorders>
              <w:top w:val="single" w:sz="6" w:space="0" w:color="000000"/>
              <w:left w:val="single" w:sz="6" w:space="0" w:color="000000"/>
              <w:bottom w:val="single" w:sz="6" w:space="0" w:color="000000"/>
              <w:right w:val="single" w:sz="6" w:space="0" w:color="000000"/>
            </w:tcBorders>
          </w:tcPr>
          <w:p w:rsidR="00C85DF8" w:rsidRPr="00D70414" w:rsidRDefault="00C85DF8" w:rsidP="00C85DF8">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C85DF8" w:rsidTr="00C85DF8">
        <w:trPr>
          <w:trHeight w:val="842"/>
        </w:trPr>
        <w:tc>
          <w:tcPr>
            <w:tcW w:w="456" w:type="dxa"/>
            <w:tcBorders>
              <w:top w:val="single" w:sz="4" w:space="0" w:color="000000"/>
              <w:left w:val="single" w:sz="4" w:space="0" w:color="000000"/>
              <w:bottom w:val="single" w:sz="4" w:space="0" w:color="000000"/>
              <w:right w:val="single" w:sz="6" w:space="0" w:color="000000"/>
            </w:tcBorders>
          </w:tcPr>
          <w:p w:rsidR="00C85DF8" w:rsidRDefault="00C85DF8" w:rsidP="00C85DF8">
            <w:pPr>
              <w:ind w:left="63"/>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C85DF8" w:rsidRDefault="00C85DF8" w:rsidP="00C85DF8">
            <w:pPr>
              <w:ind w:left="3"/>
            </w:pPr>
            <w:r>
              <w:rPr>
                <w:rFonts w:ascii="Times New Roman" w:eastAsia="Times New Roman" w:hAnsi="Times New Roman" w:cs="Times New Roman"/>
                <w:sz w:val="24"/>
              </w:rPr>
              <w:t xml:space="preserve">Телефон / факс, електронна  адреса, офіційний веб-сайт  </w:t>
            </w:r>
          </w:p>
        </w:tc>
        <w:tc>
          <w:tcPr>
            <w:tcW w:w="6235" w:type="dxa"/>
            <w:tcBorders>
              <w:top w:val="single" w:sz="6" w:space="0" w:color="000000"/>
              <w:left w:val="single" w:sz="6" w:space="0" w:color="000000"/>
              <w:bottom w:val="single" w:sz="6" w:space="0" w:color="000000"/>
              <w:right w:val="single" w:sz="6" w:space="0" w:color="000000"/>
            </w:tcBorders>
          </w:tcPr>
          <w:p w:rsidR="00C85DF8" w:rsidRPr="00BA749C" w:rsidRDefault="00C85DF8" w:rsidP="00C85DF8">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C85DF8" w:rsidRPr="00D70414" w:rsidRDefault="00C85DF8" w:rsidP="00C85DF8">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C85DF8" w:rsidTr="00C85DF8">
        <w:trPr>
          <w:trHeight w:val="313"/>
        </w:trPr>
        <w:tc>
          <w:tcPr>
            <w:tcW w:w="9746" w:type="dxa"/>
            <w:gridSpan w:val="3"/>
            <w:tcBorders>
              <w:top w:val="single" w:sz="6" w:space="0" w:color="000000"/>
              <w:left w:val="single" w:sz="4" w:space="0" w:color="000000"/>
              <w:bottom w:val="single" w:sz="4" w:space="0" w:color="000000"/>
              <w:right w:val="single" w:sz="4" w:space="0" w:color="000000"/>
            </w:tcBorders>
          </w:tcPr>
          <w:p w:rsidR="00C85DF8" w:rsidRDefault="00C85DF8" w:rsidP="00C85DF8">
            <w:pPr>
              <w:ind w:right="110"/>
              <w:jc w:val="center"/>
            </w:pPr>
            <w:r>
              <w:rPr>
                <w:rFonts w:ascii="Times New Roman" w:eastAsia="Times New Roman" w:hAnsi="Times New Roman" w:cs="Times New Roman"/>
                <w:b/>
                <w:sz w:val="26"/>
              </w:rPr>
              <w:t xml:space="preserve">Нормативні акти, якими регламентується надання адміністративної послуги </w:t>
            </w:r>
          </w:p>
        </w:tc>
      </w:tr>
      <w:tr w:rsidR="00C85DF8" w:rsidTr="00C85DF8">
        <w:trPr>
          <w:trHeight w:val="562"/>
        </w:trPr>
        <w:tc>
          <w:tcPr>
            <w:tcW w:w="456"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63"/>
            </w:pPr>
            <w:r>
              <w:rPr>
                <w:rFonts w:ascii="Times New Roman" w:eastAsia="Times New Roman" w:hAnsi="Times New Roman" w:cs="Times New Roman"/>
                <w:sz w:val="24"/>
              </w:rPr>
              <w:t xml:space="preserve">4 </w:t>
            </w:r>
          </w:p>
        </w:tc>
        <w:tc>
          <w:tcPr>
            <w:tcW w:w="3055"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3"/>
            </w:pPr>
            <w:r>
              <w:rPr>
                <w:rFonts w:ascii="Times New Roman" w:eastAsia="Times New Roman" w:hAnsi="Times New Roman" w:cs="Times New Roman"/>
                <w:sz w:val="24"/>
              </w:rPr>
              <w:t xml:space="preserve">Закони України </w:t>
            </w:r>
          </w:p>
        </w:tc>
        <w:tc>
          <w:tcPr>
            <w:tcW w:w="6235" w:type="dxa"/>
            <w:tcBorders>
              <w:top w:val="single" w:sz="4" w:space="0" w:color="000000"/>
              <w:left w:val="single" w:sz="4" w:space="0" w:color="000000"/>
              <w:bottom w:val="single" w:sz="4" w:space="0" w:color="000000"/>
              <w:right w:val="single" w:sz="4" w:space="0" w:color="000000"/>
            </w:tcBorders>
          </w:tcPr>
          <w:p w:rsidR="00C85DF8" w:rsidRDefault="00C85DF8" w:rsidP="00C85DF8">
            <w:pPr>
              <w:jc w:val="both"/>
            </w:pPr>
            <w:r>
              <w:rPr>
                <w:rFonts w:ascii="Times New Roman" w:eastAsia="Times New Roman" w:hAnsi="Times New Roman" w:cs="Times New Roman"/>
                <w:sz w:val="24"/>
              </w:rPr>
              <w:t xml:space="preserve">Закон України «Про статус ветеранів війни, гарантії їх соціального захисту»  </w:t>
            </w:r>
          </w:p>
        </w:tc>
      </w:tr>
      <w:tr w:rsidR="00C85DF8" w:rsidTr="00C85DF8">
        <w:trPr>
          <w:trHeight w:val="2770"/>
        </w:trPr>
        <w:tc>
          <w:tcPr>
            <w:tcW w:w="456"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63"/>
            </w:pPr>
            <w:r>
              <w:rPr>
                <w:rFonts w:ascii="Times New Roman" w:eastAsia="Times New Roman" w:hAnsi="Times New Roman" w:cs="Times New Roman"/>
                <w:sz w:val="24"/>
              </w:rPr>
              <w:t xml:space="preserve">5 </w:t>
            </w:r>
          </w:p>
        </w:tc>
        <w:tc>
          <w:tcPr>
            <w:tcW w:w="3055"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3"/>
            </w:pPr>
            <w:r>
              <w:rPr>
                <w:rFonts w:ascii="Times New Roman" w:eastAsia="Times New Roman" w:hAnsi="Times New Roman" w:cs="Times New Roman"/>
                <w:sz w:val="24"/>
              </w:rPr>
              <w:t xml:space="preserve">Акти Кабінету Міністрів України </w:t>
            </w:r>
          </w:p>
        </w:tc>
        <w:tc>
          <w:tcPr>
            <w:tcW w:w="6235" w:type="dxa"/>
            <w:tcBorders>
              <w:top w:val="single" w:sz="4" w:space="0" w:color="000000"/>
              <w:left w:val="single" w:sz="4" w:space="0" w:color="000000"/>
              <w:bottom w:val="single" w:sz="4" w:space="0" w:color="000000"/>
              <w:right w:val="single" w:sz="4" w:space="0" w:color="000000"/>
            </w:tcBorders>
          </w:tcPr>
          <w:p w:rsidR="00C85DF8" w:rsidRDefault="00C85DF8" w:rsidP="00C85DF8">
            <w:pPr>
              <w:ind w:right="105"/>
              <w:jc w:val="both"/>
            </w:pPr>
            <w:r>
              <w:rPr>
                <w:rFonts w:ascii="Times New Roman" w:eastAsia="Times New Roman" w:hAnsi="Times New Roman" w:cs="Times New Roman"/>
                <w:sz w:val="24"/>
              </w:rPr>
              <w:t xml:space="preserve">Постанова Кабінету Міністрів України від 31.03.2015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 </w:t>
            </w:r>
          </w:p>
        </w:tc>
      </w:tr>
      <w:tr w:rsidR="00C85DF8" w:rsidTr="00C85DF8">
        <w:trPr>
          <w:trHeight w:val="1942"/>
        </w:trPr>
        <w:tc>
          <w:tcPr>
            <w:tcW w:w="456"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63"/>
            </w:pPr>
            <w:r>
              <w:rPr>
                <w:rFonts w:ascii="Times New Roman" w:eastAsia="Times New Roman" w:hAnsi="Times New Roman" w:cs="Times New Roman"/>
                <w:sz w:val="24"/>
              </w:rPr>
              <w:t xml:space="preserve">6 </w:t>
            </w:r>
          </w:p>
        </w:tc>
        <w:tc>
          <w:tcPr>
            <w:tcW w:w="3055" w:type="dxa"/>
            <w:tcBorders>
              <w:top w:val="single" w:sz="4" w:space="0" w:color="000000"/>
              <w:left w:val="single" w:sz="4" w:space="0" w:color="000000"/>
              <w:bottom w:val="single" w:sz="4" w:space="0" w:color="000000"/>
              <w:right w:val="single" w:sz="4" w:space="0" w:color="000000"/>
            </w:tcBorders>
          </w:tcPr>
          <w:p w:rsidR="00C85DF8" w:rsidRDefault="00C85DF8" w:rsidP="00C85DF8">
            <w:pPr>
              <w:ind w:left="3"/>
              <w:jc w:val="both"/>
            </w:pPr>
            <w:r>
              <w:rPr>
                <w:rFonts w:ascii="Times New Roman" w:eastAsia="Times New Roman" w:hAnsi="Times New Roman" w:cs="Times New Roman"/>
                <w:sz w:val="24"/>
              </w:rPr>
              <w:t xml:space="preserve">Акти центральних органів виконавчої влади </w:t>
            </w:r>
          </w:p>
        </w:tc>
        <w:tc>
          <w:tcPr>
            <w:tcW w:w="6235" w:type="dxa"/>
            <w:tcBorders>
              <w:top w:val="single" w:sz="4" w:space="0" w:color="000000"/>
              <w:left w:val="single" w:sz="4" w:space="0" w:color="000000"/>
              <w:bottom w:val="single" w:sz="4" w:space="0" w:color="000000"/>
              <w:right w:val="single" w:sz="4" w:space="0" w:color="000000"/>
            </w:tcBorders>
          </w:tcPr>
          <w:p w:rsidR="00C85DF8" w:rsidRDefault="00C85DF8" w:rsidP="00C85DF8">
            <w:pPr>
              <w:ind w:right="106"/>
              <w:jc w:val="both"/>
            </w:pPr>
            <w:r>
              <w:rPr>
                <w:rFonts w:ascii="Times New Roman" w:eastAsia="Times New Roman" w:hAnsi="Times New Roman" w:cs="Times New Roman"/>
                <w:sz w:val="24"/>
              </w:rPr>
              <w:t xml:space="preserve">Накази Міністерства у справах ветеранів України: - від 12.03.2021 № 51 “Про затвердження переліку базових послуг, які входять до вартості санаторно- курортної путівки”, зареєстрований в Міністерстві юстиції України 16 квітня 2021 р. за № 518/36140; - від 11.02.2021 № 32 “Про затвердження форм  документів щодо забезпечення структурними </w:t>
            </w:r>
          </w:p>
        </w:tc>
      </w:tr>
    </w:tbl>
    <w:p w:rsidR="00B25AF2" w:rsidRDefault="00C85DF8" w:rsidP="00C85DF8">
      <w:pPr>
        <w:spacing w:after="0"/>
        <w:jc w:val="center"/>
      </w:pPr>
      <w:r w:rsidRPr="005C072F">
        <w:rPr>
          <w:rFonts w:ascii="Times New Roman" w:eastAsia="Times New Roman" w:hAnsi="Times New Roman" w:cs="Times New Roman"/>
          <w:sz w:val="20"/>
        </w:rPr>
        <w:t xml:space="preserve"> </w:t>
      </w:r>
      <w:r w:rsidR="005C072F" w:rsidRPr="005C072F">
        <w:rPr>
          <w:rFonts w:ascii="Times New Roman" w:eastAsia="Times New Roman" w:hAnsi="Times New Roman" w:cs="Times New Roman"/>
          <w:sz w:val="20"/>
        </w:rPr>
        <w:t>(найменування суб’єкта надання адміністративної послуги та / або центру надання адміністративних послуг)</w:t>
      </w:r>
    </w:p>
    <w:tbl>
      <w:tblPr>
        <w:tblStyle w:val="TableGrid"/>
        <w:tblW w:w="9746" w:type="dxa"/>
        <w:tblInd w:w="-108" w:type="dxa"/>
        <w:tblCellMar>
          <w:top w:w="20" w:type="dxa"/>
          <w:left w:w="106" w:type="dxa"/>
        </w:tblCellMar>
        <w:tblLook w:val="04A0" w:firstRow="1" w:lastRow="0" w:firstColumn="1" w:lastColumn="0" w:noHBand="0" w:noVBand="1"/>
      </w:tblPr>
      <w:tblGrid>
        <w:gridCol w:w="456"/>
        <w:gridCol w:w="3055"/>
        <w:gridCol w:w="6235"/>
      </w:tblGrid>
      <w:tr w:rsidR="00B25AF2">
        <w:trPr>
          <w:trHeight w:val="2494"/>
        </w:trPr>
        <w:tc>
          <w:tcPr>
            <w:tcW w:w="456" w:type="dxa"/>
            <w:tcBorders>
              <w:top w:val="single" w:sz="4" w:space="0" w:color="000000"/>
              <w:left w:val="single" w:sz="4" w:space="0" w:color="000000"/>
              <w:bottom w:val="single" w:sz="4" w:space="0" w:color="000000"/>
              <w:right w:val="single" w:sz="4" w:space="0" w:color="000000"/>
            </w:tcBorders>
          </w:tcPr>
          <w:p w:rsidR="00B25AF2" w:rsidRDefault="00B25AF2"/>
        </w:tc>
        <w:tc>
          <w:tcPr>
            <w:tcW w:w="3055" w:type="dxa"/>
            <w:tcBorders>
              <w:top w:val="single" w:sz="4" w:space="0" w:color="000000"/>
              <w:left w:val="single" w:sz="4" w:space="0" w:color="000000"/>
              <w:bottom w:val="single" w:sz="4" w:space="0" w:color="000000"/>
              <w:right w:val="single" w:sz="4" w:space="0" w:color="000000"/>
            </w:tcBorders>
          </w:tcPr>
          <w:p w:rsidR="00B25AF2" w:rsidRDefault="00B25AF2"/>
        </w:tc>
        <w:tc>
          <w:tcPr>
            <w:tcW w:w="6235" w:type="dxa"/>
            <w:tcBorders>
              <w:top w:val="single" w:sz="4" w:space="0" w:color="000000"/>
              <w:left w:val="single" w:sz="4" w:space="0" w:color="000000"/>
              <w:bottom w:val="single" w:sz="4" w:space="0" w:color="000000"/>
              <w:right w:val="single" w:sz="4" w:space="0" w:color="000000"/>
            </w:tcBorders>
          </w:tcPr>
          <w:p w:rsidR="00B25AF2" w:rsidRDefault="007A3E74">
            <w:pPr>
              <w:ind w:right="106"/>
              <w:jc w:val="both"/>
            </w:pPr>
            <w:r>
              <w:rPr>
                <w:rFonts w:ascii="Times New Roman" w:eastAsia="Times New Roman" w:hAnsi="Times New Roman" w:cs="Times New Roman"/>
                <w:sz w:val="24"/>
              </w:rPr>
              <w:t xml:space="preserve">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01 березня 2021 р. за № 262/35884. Наказ Міністерства охорони здоров’я України від 06.02.2008 № 56 “Про затвердження клінічних протоколів санаторно-курортного лікування в санаторно- курортних закладах (крім туберкульозного профілю) для дорослого населення”. </w:t>
            </w:r>
          </w:p>
        </w:tc>
      </w:tr>
      <w:tr w:rsidR="00B25AF2">
        <w:trPr>
          <w:trHeight w:val="287"/>
        </w:trPr>
        <w:tc>
          <w:tcPr>
            <w:tcW w:w="9746" w:type="dxa"/>
            <w:gridSpan w:val="3"/>
            <w:tcBorders>
              <w:top w:val="single" w:sz="4" w:space="0" w:color="000000"/>
              <w:left w:val="single" w:sz="4" w:space="0" w:color="000000"/>
              <w:bottom w:val="single" w:sz="6" w:space="0" w:color="000000"/>
              <w:right w:val="single" w:sz="4" w:space="0" w:color="000000"/>
            </w:tcBorders>
          </w:tcPr>
          <w:p w:rsidR="00B25AF2" w:rsidRDefault="007A3E74">
            <w:pPr>
              <w:ind w:right="107"/>
              <w:jc w:val="center"/>
            </w:pPr>
            <w:r>
              <w:rPr>
                <w:rFonts w:ascii="Times New Roman" w:eastAsia="Times New Roman" w:hAnsi="Times New Roman" w:cs="Times New Roman"/>
                <w:b/>
                <w:sz w:val="24"/>
              </w:rPr>
              <w:t xml:space="preserve">Умови отримання адміністративної послуги </w:t>
            </w:r>
          </w:p>
        </w:tc>
      </w:tr>
      <w:tr w:rsidR="00B25AF2">
        <w:trPr>
          <w:trHeight w:val="2222"/>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62"/>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Підстава для отримання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pPr>
              <w:ind w:right="106"/>
              <w:jc w:val="both"/>
            </w:pPr>
            <w:r>
              <w:rPr>
                <w:rFonts w:ascii="Times New Roman" w:eastAsia="Times New Roman" w:hAnsi="Times New Roman" w:cs="Times New Roman"/>
                <w:sz w:val="24"/>
              </w:rPr>
              <w:t xml:space="preserve">Наявність медичних показань для забезпечення санаторно-курортним лікуванням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 та членів сімей загиблих (померлих) Захисників чи Захисниць України, на яких поширюється дія Закону України „Про статус ветеранів війни, гарантії їх соціального захисту” </w:t>
            </w:r>
          </w:p>
        </w:tc>
      </w:tr>
      <w:tr w:rsidR="00B25AF2">
        <w:trPr>
          <w:trHeight w:val="5258"/>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62"/>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tabs>
                <w:tab w:val="right" w:pos="2950"/>
              </w:tabs>
            </w:pPr>
            <w:r>
              <w:rPr>
                <w:rFonts w:ascii="Times New Roman" w:eastAsia="Times New Roman" w:hAnsi="Times New Roman" w:cs="Times New Roman"/>
                <w:sz w:val="24"/>
              </w:rPr>
              <w:t xml:space="preserve">Перелік </w:t>
            </w:r>
            <w:r>
              <w:rPr>
                <w:rFonts w:ascii="Times New Roman" w:eastAsia="Times New Roman" w:hAnsi="Times New Roman" w:cs="Times New Roman"/>
                <w:sz w:val="24"/>
              </w:rPr>
              <w:tab/>
              <w:t xml:space="preserve">необхідних </w:t>
            </w:r>
          </w:p>
          <w:p w:rsidR="00B25AF2" w:rsidRDefault="007A3E74">
            <w:pPr>
              <w:ind w:left="2"/>
            </w:pPr>
            <w:r>
              <w:rPr>
                <w:rFonts w:ascii="Times New Roman" w:eastAsia="Times New Roman" w:hAnsi="Times New Roman" w:cs="Times New Roman"/>
                <w:sz w:val="24"/>
              </w:rPr>
              <w:t xml:space="preserve">документів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pPr>
              <w:ind w:left="31"/>
            </w:pPr>
            <w:r>
              <w:rPr>
                <w:rFonts w:ascii="Times New Roman" w:eastAsia="Times New Roman" w:hAnsi="Times New Roman" w:cs="Times New Roman"/>
                <w:sz w:val="24"/>
              </w:rPr>
              <w:t xml:space="preserve">1.Заява. </w:t>
            </w:r>
          </w:p>
          <w:p w:rsidR="00B25AF2" w:rsidRDefault="007A3E74">
            <w:pPr>
              <w:numPr>
                <w:ilvl w:val="0"/>
                <w:numId w:val="1"/>
              </w:numPr>
              <w:spacing w:line="239" w:lineRule="auto"/>
              <w:ind w:right="105"/>
              <w:jc w:val="both"/>
            </w:pPr>
            <w:r>
              <w:rPr>
                <w:rFonts w:ascii="Times New Roman" w:eastAsia="Times New Roman" w:hAnsi="Times New Roman" w:cs="Times New Roman"/>
                <w:sz w:val="24"/>
              </w:rPr>
              <w:t xml:space="preserve">Копія відповідного посвідчення (учасника бойових дій/особи з інвалідністю внаслідок війни/ постраждалого учасника Революції Гідності/ учасника війни/ члена сім'ї загиблого (померлого) ветерана війни). </w:t>
            </w:r>
          </w:p>
          <w:p w:rsidR="00B25AF2" w:rsidRDefault="007A3E74">
            <w:pPr>
              <w:numPr>
                <w:ilvl w:val="0"/>
                <w:numId w:val="1"/>
              </w:numPr>
              <w:spacing w:line="239" w:lineRule="auto"/>
              <w:ind w:right="105"/>
              <w:jc w:val="both"/>
            </w:pPr>
            <w:r>
              <w:rPr>
                <w:rFonts w:ascii="Times New Roman" w:eastAsia="Times New Roman" w:hAnsi="Times New Roman" w:cs="Times New Roman"/>
                <w:sz w:val="24"/>
              </w:rPr>
              <w:t xml:space="preserve">Копія військового квитка (за наявності) (для учасника бойових дій, особи з інвалідністю внаслідок війни). </w:t>
            </w:r>
          </w:p>
          <w:p w:rsidR="00B25AF2" w:rsidRDefault="007A3E74">
            <w:pPr>
              <w:numPr>
                <w:ilvl w:val="0"/>
                <w:numId w:val="1"/>
              </w:numPr>
              <w:spacing w:line="239" w:lineRule="auto"/>
              <w:ind w:right="105"/>
              <w:jc w:val="both"/>
            </w:pPr>
            <w:r>
              <w:rPr>
                <w:rFonts w:ascii="Times New Roman" w:eastAsia="Times New Roman" w:hAnsi="Times New Roman" w:cs="Times New Roman"/>
                <w:sz w:val="24"/>
              </w:rPr>
              <w:t xml:space="preserve">Копія документа, що підтверджує безпосередню участь (забезпечення проведення) особи в антитерористичній операції чи заходах із забезпечення національної безпеки і оборони, відсічі і стримуванні збройної агресії Російської Федерації у Донецькій та Луганській областях (у разі відсутності у посвідченні ветерана війни посилання на норму Закону України "Про статус ветеранів війни, гарантії їх соціального захисту", відповідно до якої установлено статус). </w:t>
            </w:r>
          </w:p>
          <w:p w:rsidR="00B25AF2" w:rsidRDefault="007A3E74">
            <w:pPr>
              <w:numPr>
                <w:ilvl w:val="0"/>
                <w:numId w:val="1"/>
              </w:numPr>
              <w:ind w:right="105"/>
              <w:jc w:val="both"/>
            </w:pPr>
            <w:r>
              <w:rPr>
                <w:rFonts w:ascii="Times New Roman" w:eastAsia="Times New Roman" w:hAnsi="Times New Roman" w:cs="Times New Roman"/>
                <w:sz w:val="24"/>
              </w:rPr>
              <w:t xml:space="preserve">Медична довідка лікувальної установи за формою № 070/о </w:t>
            </w:r>
          </w:p>
        </w:tc>
      </w:tr>
      <w:tr w:rsidR="00B25AF2" w:rsidTr="007A3E74">
        <w:trPr>
          <w:trHeight w:val="2975"/>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62"/>
            </w:pPr>
            <w:r>
              <w:rPr>
                <w:rFonts w:ascii="Times New Roman" w:eastAsia="Times New Roman" w:hAnsi="Times New Roman" w:cs="Times New Roman"/>
                <w:sz w:val="24"/>
              </w:rPr>
              <w:t xml:space="preserve">8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ind w:left="2"/>
              <w:jc w:val="both"/>
            </w:pPr>
            <w:r>
              <w:rPr>
                <w:rFonts w:ascii="Times New Roman" w:eastAsia="Times New Roman" w:hAnsi="Times New Roman" w:cs="Times New Roman"/>
                <w:sz w:val="24"/>
              </w:rPr>
              <w:t xml:space="preserve">Спосіб подання документів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rsidP="007A3E74">
            <w:pPr>
              <w:spacing w:line="229" w:lineRule="auto"/>
              <w:ind w:right="106"/>
              <w:jc w:val="both"/>
            </w:pPr>
            <w:r>
              <w:rPr>
                <w:rFonts w:ascii="Times New Roman" w:eastAsia="Times New Roman" w:hAnsi="Times New Roman" w:cs="Times New Roman"/>
                <w:sz w:val="24"/>
              </w:rPr>
              <w:t xml:space="preserve">Заява та документи, необхідні для забезпечення санаторно-курортним лікуванням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 та членів сімей загиблих (померлих) захисників чи захисниць України, на яких поширюється дія Закону України „Про статус ветеранів війни, гарантії їх соціального захисту”, подаються особою (законним представником) суб’єкту надання адміністративної послуги </w:t>
            </w:r>
            <w:r w:rsidRPr="007A3E74">
              <w:rPr>
                <w:rFonts w:ascii="Times New Roman" w:eastAsia="Times New Roman" w:hAnsi="Times New Roman" w:cs="Times New Roman"/>
                <w:sz w:val="24"/>
              </w:rPr>
              <w:t>через посадових осіб центру надання</w:t>
            </w:r>
            <w:r>
              <w:rPr>
                <w:rFonts w:ascii="Times New Roman" w:eastAsia="Times New Roman" w:hAnsi="Times New Roman" w:cs="Times New Roman"/>
                <w:sz w:val="24"/>
              </w:rPr>
              <w:t xml:space="preserve"> адміністративних </w:t>
            </w:r>
            <w:r w:rsidRPr="007A3E74">
              <w:rPr>
                <w:rFonts w:ascii="Times New Roman" w:eastAsia="Times New Roman" w:hAnsi="Times New Roman" w:cs="Times New Roman"/>
                <w:sz w:val="24"/>
              </w:rPr>
              <w:t xml:space="preserve">послуг; </w:t>
            </w:r>
            <w:r>
              <w:rPr>
                <w:rFonts w:ascii="Times New Roman" w:eastAsia="Times New Roman" w:hAnsi="Times New Roman" w:cs="Times New Roman"/>
                <w:sz w:val="24"/>
              </w:rPr>
              <w:t>поштою.</w:t>
            </w:r>
            <w:r>
              <w:rPr>
                <w:rFonts w:ascii="Times New Roman" w:eastAsia="Times New Roman" w:hAnsi="Times New Roman" w:cs="Times New Roman"/>
                <w:color w:val="FF0000"/>
                <w:sz w:val="24"/>
              </w:rPr>
              <w:t xml:space="preserve"> </w:t>
            </w:r>
          </w:p>
        </w:tc>
      </w:tr>
      <w:tr w:rsidR="00B25AF2">
        <w:trPr>
          <w:trHeight w:val="293"/>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62"/>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Платність (безоплатність) надання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r>
              <w:rPr>
                <w:rFonts w:ascii="Times New Roman" w:eastAsia="Times New Roman" w:hAnsi="Times New Roman" w:cs="Times New Roman"/>
                <w:sz w:val="24"/>
              </w:rPr>
              <w:t xml:space="preserve">Послуга надається на безоплатній основі </w:t>
            </w:r>
          </w:p>
        </w:tc>
      </w:tr>
      <w:tr w:rsidR="00B25AF2">
        <w:tblPrEx>
          <w:tblCellMar>
            <w:top w:w="57" w:type="dxa"/>
            <w:right w:w="48" w:type="dxa"/>
          </w:tblCellMar>
        </w:tblPrEx>
        <w:trPr>
          <w:trHeight w:val="566"/>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Строк надання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pPr>
              <w:jc w:val="both"/>
            </w:pPr>
            <w:r>
              <w:rPr>
                <w:rFonts w:ascii="Times New Roman" w:eastAsia="Times New Roman" w:hAnsi="Times New Roman" w:cs="Times New Roman"/>
                <w:sz w:val="24"/>
              </w:rPr>
              <w:t xml:space="preserve">Розгляд документів та прийняття рішення здійснюється у місячний строк з дня подання необхідних документів. </w:t>
            </w:r>
          </w:p>
        </w:tc>
      </w:tr>
      <w:tr w:rsidR="00B25AF2" w:rsidTr="007A3E74">
        <w:tblPrEx>
          <w:tblCellMar>
            <w:top w:w="57" w:type="dxa"/>
            <w:right w:w="48" w:type="dxa"/>
          </w:tblCellMar>
        </w:tblPrEx>
        <w:trPr>
          <w:trHeight w:val="1805"/>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2"/>
            </w:pPr>
            <w:r>
              <w:rPr>
                <w:rFonts w:ascii="Times New Roman" w:eastAsia="Times New Roman" w:hAnsi="Times New Roman" w:cs="Times New Roman"/>
                <w:sz w:val="24"/>
              </w:rPr>
              <w:lastRenderedPageBreak/>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tabs>
                <w:tab w:val="center" w:pos="1649"/>
                <w:tab w:val="right" w:pos="2902"/>
              </w:tabs>
            </w:pPr>
            <w:r>
              <w:rPr>
                <w:rFonts w:ascii="Times New Roman" w:eastAsia="Times New Roman" w:hAnsi="Times New Roman" w:cs="Times New Roman"/>
                <w:sz w:val="24"/>
              </w:rPr>
              <w:t xml:space="preserve">Перелік підстав для </w:t>
            </w:r>
          </w:p>
          <w:p w:rsidR="00B25AF2" w:rsidRDefault="007A3E74">
            <w:pPr>
              <w:ind w:left="2"/>
            </w:pPr>
            <w:r>
              <w:rPr>
                <w:rFonts w:ascii="Times New Roman" w:eastAsia="Times New Roman" w:hAnsi="Times New Roman" w:cs="Times New Roman"/>
                <w:sz w:val="24"/>
              </w:rPr>
              <w:t xml:space="preserve">відмови у наданні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rsidP="007A3E74">
            <w:pPr>
              <w:ind w:right="58"/>
              <w:jc w:val="both"/>
            </w:pPr>
            <w:r>
              <w:rPr>
                <w:rFonts w:ascii="Times New Roman" w:eastAsia="Times New Roman" w:hAnsi="Times New Roman" w:cs="Times New Roman"/>
                <w:sz w:val="24"/>
              </w:rPr>
              <w:t xml:space="preserve">На особу, що звернулась за отриманням путівки, не поширюється дія постанови Кабінету Міністрів України від 31.03.2015 № 200.       Особа вже забезпечена санаторно-курортною путівкою у поточному році. Особа відмовилася від путівки у поточному році, про що було складено акт відмови. </w:t>
            </w:r>
          </w:p>
        </w:tc>
      </w:tr>
      <w:tr w:rsidR="00B25AF2">
        <w:tblPrEx>
          <w:tblCellMar>
            <w:top w:w="57" w:type="dxa"/>
            <w:right w:w="48" w:type="dxa"/>
          </w:tblCellMar>
        </w:tblPrEx>
        <w:trPr>
          <w:trHeight w:val="566"/>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tabs>
                <w:tab w:val="right" w:pos="2902"/>
              </w:tabs>
            </w:pPr>
            <w:r>
              <w:rPr>
                <w:rFonts w:ascii="Times New Roman" w:eastAsia="Times New Roman" w:hAnsi="Times New Roman" w:cs="Times New Roman"/>
                <w:sz w:val="24"/>
              </w:rPr>
              <w:t xml:space="preserve">Результат надання </w:t>
            </w:r>
          </w:p>
          <w:p w:rsidR="00B25AF2" w:rsidRDefault="007A3E74">
            <w:pPr>
              <w:ind w:left="2"/>
            </w:pPr>
            <w:r>
              <w:rPr>
                <w:rFonts w:ascii="Times New Roman" w:eastAsia="Times New Roman" w:hAnsi="Times New Roman" w:cs="Times New Roman"/>
                <w:sz w:val="24"/>
              </w:rPr>
              <w:t xml:space="preserve">адміністративної послуги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pPr>
              <w:ind w:left="29"/>
              <w:jc w:val="both"/>
            </w:pPr>
            <w:r>
              <w:rPr>
                <w:rFonts w:ascii="Times New Roman" w:eastAsia="Times New Roman" w:hAnsi="Times New Roman" w:cs="Times New Roman"/>
                <w:sz w:val="24"/>
              </w:rPr>
              <w:t xml:space="preserve">Забезпечення санаторно-курортною путівкою / відмова забезпечені санаторно-курортною путівкою </w:t>
            </w:r>
          </w:p>
        </w:tc>
      </w:tr>
      <w:tr w:rsidR="00B25AF2">
        <w:tblPrEx>
          <w:tblCellMar>
            <w:top w:w="57" w:type="dxa"/>
            <w:right w:w="48" w:type="dxa"/>
          </w:tblCellMar>
        </w:tblPrEx>
        <w:trPr>
          <w:trHeight w:val="566"/>
        </w:trPr>
        <w:tc>
          <w:tcPr>
            <w:tcW w:w="456" w:type="dxa"/>
            <w:tcBorders>
              <w:top w:val="single" w:sz="4" w:space="0" w:color="000000"/>
              <w:left w:val="single" w:sz="4" w:space="0" w:color="000000"/>
              <w:bottom w:val="single" w:sz="4" w:space="0" w:color="000000"/>
              <w:right w:val="single" w:sz="6" w:space="0" w:color="000000"/>
            </w:tcBorders>
          </w:tcPr>
          <w:p w:rsidR="00B25AF2" w:rsidRDefault="007A3E74">
            <w:pPr>
              <w:ind w:left="2"/>
            </w:pPr>
            <w:r>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B25AF2" w:rsidRDefault="007A3E74">
            <w:pPr>
              <w:tabs>
                <w:tab w:val="right" w:pos="2902"/>
              </w:tabs>
            </w:pPr>
            <w:r>
              <w:rPr>
                <w:rFonts w:ascii="Times New Roman" w:eastAsia="Times New Roman" w:hAnsi="Times New Roman" w:cs="Times New Roman"/>
                <w:sz w:val="24"/>
              </w:rPr>
              <w:t xml:space="preserve">Способи отримання </w:t>
            </w:r>
          </w:p>
          <w:p w:rsidR="00B25AF2" w:rsidRDefault="007A3E74">
            <w:pPr>
              <w:ind w:left="2"/>
            </w:pPr>
            <w:r>
              <w:rPr>
                <w:rFonts w:ascii="Times New Roman" w:eastAsia="Times New Roman" w:hAnsi="Times New Roman" w:cs="Times New Roman"/>
                <w:sz w:val="24"/>
              </w:rPr>
              <w:t xml:space="preserve">відповіді (результату) </w:t>
            </w:r>
          </w:p>
        </w:tc>
        <w:tc>
          <w:tcPr>
            <w:tcW w:w="6235" w:type="dxa"/>
            <w:tcBorders>
              <w:top w:val="single" w:sz="4" w:space="0" w:color="000000"/>
              <w:left w:val="single" w:sz="6" w:space="0" w:color="000000"/>
              <w:bottom w:val="single" w:sz="4" w:space="0" w:color="000000"/>
              <w:right w:val="single" w:sz="4" w:space="0" w:color="000000"/>
            </w:tcBorders>
          </w:tcPr>
          <w:p w:rsidR="00B25AF2" w:rsidRDefault="007A3E74">
            <w:r>
              <w:rPr>
                <w:rFonts w:ascii="Times New Roman" w:eastAsia="Times New Roman" w:hAnsi="Times New Roman" w:cs="Times New Roman"/>
                <w:sz w:val="24"/>
              </w:rPr>
              <w:t>Особисто або через законного представника поштою</w:t>
            </w:r>
            <w:r>
              <w:rPr>
                <w:rFonts w:ascii="Times New Roman" w:eastAsia="Times New Roman" w:hAnsi="Times New Roman" w:cs="Times New Roman"/>
                <w:color w:val="FF0000"/>
                <w:sz w:val="24"/>
              </w:rPr>
              <w:t xml:space="preserve"> </w:t>
            </w:r>
          </w:p>
        </w:tc>
      </w:tr>
    </w:tbl>
    <w:p w:rsidR="00B25AF2" w:rsidRDefault="007A3E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A2FE1" w:rsidRPr="00040CF5" w:rsidRDefault="00CA2FE1" w:rsidP="00CA2FE1">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CA2FE1" w:rsidRDefault="00CA2FE1">
      <w:pPr>
        <w:spacing w:after="0"/>
      </w:pPr>
    </w:p>
    <w:sectPr w:rsidR="00CA2FE1">
      <w:pgSz w:w="11900" w:h="16840"/>
      <w:pgMar w:top="759" w:right="667" w:bottom="1178"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602"/>
    <w:multiLevelType w:val="hybridMultilevel"/>
    <w:tmpl w:val="5DAAB144"/>
    <w:lvl w:ilvl="0" w:tplc="E9FC181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0C706">
      <w:start w:val="1"/>
      <w:numFmt w:val="bullet"/>
      <w:lvlText w:val="o"/>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7440">
      <w:start w:val="1"/>
      <w:numFmt w:val="bullet"/>
      <w:lvlText w:val="▪"/>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E942E">
      <w:start w:val="1"/>
      <w:numFmt w:val="bullet"/>
      <w:lvlText w:val="•"/>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E80A">
      <w:start w:val="1"/>
      <w:numFmt w:val="bullet"/>
      <w:lvlText w:val="o"/>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404AC">
      <w:start w:val="1"/>
      <w:numFmt w:val="bullet"/>
      <w:lvlText w:val="▪"/>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89644">
      <w:start w:val="1"/>
      <w:numFmt w:val="bullet"/>
      <w:lvlText w:val="•"/>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CC44A">
      <w:start w:val="1"/>
      <w:numFmt w:val="bullet"/>
      <w:lvlText w:val="o"/>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88590">
      <w:start w:val="1"/>
      <w:numFmt w:val="bullet"/>
      <w:lvlText w:val="▪"/>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A042C0"/>
    <w:multiLevelType w:val="hybridMultilevel"/>
    <w:tmpl w:val="F45AB062"/>
    <w:lvl w:ilvl="0" w:tplc="37C263BA">
      <w:start w:val="2"/>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4B7A4">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0AF3E">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A474A">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62BB4">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8E020">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9B66">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8654">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EA558">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F2"/>
    <w:rsid w:val="00025BA5"/>
    <w:rsid w:val="005C072F"/>
    <w:rsid w:val="007A3E74"/>
    <w:rsid w:val="00B25AF2"/>
    <w:rsid w:val="00C85DF8"/>
    <w:rsid w:val="00CA2FE1"/>
    <w:rsid w:val="00F93C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CA2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CA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3452</Words>
  <Characters>1968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77</vt:lpstr>
    </vt:vector>
  </TitlesOfParts>
  <Company>SPecialiST RePack</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dc:title>
  <dc:subject/>
  <dc:creator>Администратор</dc:creator>
  <cp:keywords/>
  <cp:lastModifiedBy>111</cp:lastModifiedBy>
  <cp:revision>7</cp:revision>
  <dcterms:created xsi:type="dcterms:W3CDTF">2023-06-09T17:31:00Z</dcterms:created>
  <dcterms:modified xsi:type="dcterms:W3CDTF">2023-07-13T08:43:00Z</dcterms:modified>
</cp:coreProperties>
</file>